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1A" w:rsidRDefault="0092471A" w:rsidP="0092471A">
      <w:pPr>
        <w:shd w:val="clear" w:color="auto" w:fill="FFFFFF"/>
        <w:spacing w:after="150" w:line="600" w:lineRule="atLeast"/>
        <w:outlineLvl w:val="1"/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</w:pPr>
      <w:r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  <w:t>Sintesi Giuseppe Mariani</w:t>
      </w:r>
    </w:p>
    <w:p w:rsidR="0092471A" w:rsidRPr="0092471A" w:rsidRDefault="0092471A" w:rsidP="0092471A">
      <w:pPr>
        <w:shd w:val="clear" w:color="auto" w:fill="FFFFFF"/>
        <w:spacing w:after="150" w:line="600" w:lineRule="atLeast"/>
        <w:outlineLvl w:val="1"/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</w:pPr>
      <w:r w:rsidRPr="0092471A"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  <w:t>Scuola primaria: che cosa cambia?</w:t>
      </w:r>
    </w:p>
    <w:p w:rsidR="0092471A" w:rsidRPr="0092471A" w:rsidRDefault="0092471A" w:rsidP="009247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È finalmente chiarito che i team dei docenti sono presieduti dal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dirigente scolastico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 (art. 2, c. 3, ultimo periodo).</w:t>
      </w:r>
    </w:p>
    <w:p w:rsidR="0092471A" w:rsidRPr="0092471A" w:rsidRDefault="0092471A" w:rsidP="009247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Viene sostanzialmente impedita la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non ammissione alla classe successiva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. Pur riprendendo dal </w:t>
      </w:r>
      <w:proofErr w:type="spellStart"/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D.Lgs.</w:t>
      </w:r>
      <w:proofErr w:type="spellEnd"/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 n. 59/2003 il criterio che essa può essere deliberata solo in casi eccezionali e purché il voto sia unanime, l’art. 3 (c. 1) afferma </w:t>
      </w:r>
      <w:r w:rsidRPr="0092471A">
        <w:rPr>
          <w:rFonts w:ascii="Times New Roman" w:eastAsia="Times New Roman" w:hAnsi="Times New Roman" w:cs="Times New Roman"/>
          <w:b/>
          <w:color w:val="282828"/>
          <w:sz w:val="27"/>
          <w:szCs w:val="27"/>
          <w:lang w:eastAsia="it-IT"/>
        </w:rPr>
        <w:t>che la promozione è obbligatoria “</w:t>
      </w:r>
      <w:r w:rsidRPr="0092471A">
        <w:rPr>
          <w:rFonts w:ascii="Times New Roman" w:eastAsia="Times New Roman" w:hAnsi="Times New Roman" w:cs="Times New Roman"/>
          <w:b/>
          <w:i/>
          <w:iCs/>
          <w:color w:val="282828"/>
          <w:sz w:val="27"/>
          <w:szCs w:val="27"/>
          <w:lang w:eastAsia="it-IT"/>
        </w:rPr>
        <w:t>anche</w:t>
      </w:r>
      <w:r w:rsidRPr="0092471A">
        <w:rPr>
          <w:rFonts w:ascii="Times New Roman" w:eastAsia="Times New Roman" w:hAnsi="Times New Roman" w:cs="Times New Roman"/>
          <w:b/>
          <w:color w:val="282828"/>
          <w:sz w:val="27"/>
          <w:szCs w:val="27"/>
          <w:lang w:eastAsia="it-IT"/>
        </w:rPr>
        <w:t> </w:t>
      </w:r>
      <w:r w:rsidRPr="0092471A">
        <w:rPr>
          <w:rFonts w:ascii="Times New Roman" w:eastAsia="Times New Roman" w:hAnsi="Times New Roman" w:cs="Times New Roman"/>
          <w:b/>
          <w:i/>
          <w:iCs/>
          <w:color w:val="282828"/>
          <w:sz w:val="27"/>
          <w:szCs w:val="27"/>
          <w:lang w:eastAsia="it-IT"/>
        </w:rPr>
        <w:t>in presenza di livelli di apprendimento parzialmente raggiunti o in via di prima acquisizione</w:t>
      </w:r>
      <w:r w:rsidRPr="0092471A">
        <w:rPr>
          <w:rFonts w:ascii="Times New Roman" w:eastAsia="Times New Roman" w:hAnsi="Times New Roman" w:cs="Times New Roman"/>
          <w:b/>
          <w:color w:val="282828"/>
          <w:sz w:val="27"/>
          <w:szCs w:val="27"/>
          <w:lang w:eastAsia="it-IT"/>
        </w:rPr>
        <w:t>“.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 Il che significa che, tranne il caso di mancata frequenza, non sarà più possibile far ripetere l’anno a quei bambini che, non avendo raggiunto le competenze minime per la classe successiva, potrebbero trarre beneficio dal ripercorrere i passaggi saltati.</w:t>
      </w:r>
    </w:p>
    <w:p w:rsidR="0092471A" w:rsidRPr="00EE0DD1" w:rsidRDefault="0092471A" w:rsidP="009247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Nelle classi quinte si aggiunge la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prova Invalsi di inglese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 a quelle di italiano e matematica (</w:t>
      </w:r>
      <w:proofErr w:type="spellStart"/>
      <w:r w:rsidRPr="00EE0DD1">
        <w:rPr>
          <w:rFonts w:ascii="Times New Roman" w:eastAsia="Times New Roman" w:hAnsi="Times New Roman" w:cs="Times New Roman"/>
          <w:b/>
          <w:color w:val="282828"/>
          <w:sz w:val="27"/>
          <w:szCs w:val="27"/>
          <w:lang w:eastAsia="it-IT"/>
        </w:rPr>
        <w:t>dall’a.s.</w:t>
      </w:r>
      <w:proofErr w:type="spellEnd"/>
      <w:r w:rsidRPr="00EE0DD1">
        <w:rPr>
          <w:rFonts w:ascii="Times New Roman" w:eastAsia="Times New Roman" w:hAnsi="Times New Roman" w:cs="Times New Roman"/>
          <w:b/>
          <w:color w:val="282828"/>
          <w:sz w:val="27"/>
          <w:szCs w:val="27"/>
          <w:lang w:eastAsia="it-IT"/>
        </w:rPr>
        <w:t xml:space="preserve"> 2018/19)</w:t>
      </w:r>
    </w:p>
    <w:p w:rsidR="0092471A" w:rsidRPr="0092471A" w:rsidRDefault="0092471A" w:rsidP="0092471A">
      <w:pPr>
        <w:shd w:val="clear" w:color="auto" w:fill="FFFFFF"/>
        <w:spacing w:after="150" w:line="600" w:lineRule="atLeast"/>
        <w:outlineLvl w:val="1"/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</w:pPr>
      <w:r w:rsidRPr="0092471A"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  <w:t>Scuola secondaria di primo grado: che cosa cambia?</w:t>
      </w:r>
    </w:p>
    <w:p w:rsidR="00803C9F" w:rsidRDefault="0092471A" w:rsidP="009247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Per la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valutazione del comportamento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 sono introdotte tre innovazioni:</w:t>
      </w:r>
    </w:p>
    <w:p w:rsidR="00803C9F" w:rsidRDefault="00803C9F" w:rsidP="00803C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-</w:t>
      </w:r>
      <w:r w:rsidR="0092471A"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 la prima riguarda il criterio di valutazione, che viene riferito “</w:t>
      </w:r>
      <w:r w:rsidR="0092471A" w:rsidRPr="0092471A">
        <w:rPr>
          <w:rFonts w:ascii="Times New Roman" w:eastAsia="Times New Roman" w:hAnsi="Times New Roman" w:cs="Times New Roman"/>
          <w:i/>
          <w:iCs/>
          <w:color w:val="282828"/>
          <w:sz w:val="27"/>
          <w:szCs w:val="27"/>
          <w:lang w:eastAsia="it-IT"/>
        </w:rPr>
        <w:t>allo sviluppo delle competenze di cittadinanza</w:t>
      </w:r>
      <w:r w:rsidR="0092471A"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“; </w:t>
      </w:r>
    </w:p>
    <w:p w:rsidR="00803C9F" w:rsidRDefault="00803C9F" w:rsidP="00803C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-</w:t>
      </w:r>
      <w:r w:rsidR="0092471A"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la seconda riguarda il ritorno al giudizio (come nella scuola primaria: sparisce quindi il voto in decimi); </w:t>
      </w:r>
    </w:p>
    <w:p w:rsidR="0092471A" w:rsidRPr="0092471A" w:rsidRDefault="00803C9F" w:rsidP="00803C9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-</w:t>
      </w:r>
      <w:r w:rsidR="0092471A"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la terza riguarda la sterilizzazione delle conseguenze del giudizio negativo di comportamento rispetto all’ammissione alla classe successiva (art. 2, c. 5).</w:t>
      </w:r>
    </w:p>
    <w:p w:rsidR="0092471A" w:rsidRPr="0092471A" w:rsidRDefault="0092471A" w:rsidP="009247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La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non ammissione alla classe successiva o all’esame conclusivo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 del primo ciclo rimane possibile, su voto a maggioranza del consiglio di classe, nei casi “</w:t>
      </w:r>
      <w:r w:rsidRPr="0092471A">
        <w:rPr>
          <w:rFonts w:ascii="Times New Roman" w:eastAsia="Times New Roman" w:hAnsi="Times New Roman" w:cs="Times New Roman"/>
          <w:i/>
          <w:iCs/>
          <w:color w:val="282828"/>
          <w:sz w:val="27"/>
          <w:szCs w:val="27"/>
          <w:lang w:eastAsia="it-IT"/>
        </w:rPr>
        <w:t>di parziale o mancata acquisizione dei livelli di apprendimento in una o più discipline”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. Viene formalizzato </w:t>
      </w:r>
      <w:r w:rsidRPr="0092471A">
        <w:rPr>
          <w:rFonts w:ascii="Times New Roman" w:eastAsia="Times New Roman" w:hAnsi="Times New Roman" w:cs="Times New Roman"/>
          <w:b/>
          <w:color w:val="282828"/>
          <w:sz w:val="27"/>
          <w:szCs w:val="27"/>
          <w:lang w:eastAsia="it-IT"/>
        </w:rPr>
        <w:t xml:space="preserve">l’obbligo di attuare, a favore degli alunni con carenze in una o più discipline, specifiche strategie per il miglioramento dei livelli di apprendimento 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(art. 6, c. 2 e 3).</w:t>
      </w:r>
    </w:p>
    <w:p w:rsidR="0092471A" w:rsidRPr="0092471A" w:rsidRDefault="0092471A" w:rsidP="009247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Le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prove Invalsi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 si svolgono solo in terza (abolite le prove in prima) e non fanno più parte dell’esame di Stato: ne è previsto lo svolgimento entro il mese di aprile. La partecipazione è obbligatoria, rappresentando requisito di ammissione all’esame di Stato: per gli alunni risultati assenti per gravi motivi documentati, valutati dal consiglio di classe, è prevista una sessione suppletiva. Dal 2018/19 alle prove di italiano e matematica si aggiunge la prova di inglese (art. 7).</w:t>
      </w:r>
    </w:p>
    <w:p w:rsidR="0092471A" w:rsidRPr="0092471A" w:rsidRDefault="0092471A" w:rsidP="0092471A">
      <w:pPr>
        <w:shd w:val="clear" w:color="auto" w:fill="FFFFFF"/>
        <w:spacing w:after="150" w:line="600" w:lineRule="atLeast"/>
        <w:outlineLvl w:val="1"/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</w:pPr>
      <w:r w:rsidRPr="0092471A">
        <w:rPr>
          <w:rFonts w:ascii="Dosis" w:eastAsia="Times New Roman" w:hAnsi="Dosis" w:cs="Times New Roman"/>
          <w:color w:val="282828"/>
          <w:sz w:val="48"/>
          <w:szCs w:val="48"/>
          <w:lang w:eastAsia="it-IT"/>
        </w:rPr>
        <w:lastRenderedPageBreak/>
        <w:t>Esame di stato conclusivo del primo ciclo: che cosa cambia?</w:t>
      </w:r>
    </w:p>
    <w:p w:rsidR="0092471A" w:rsidRPr="0092471A" w:rsidRDefault="0092471A" w:rsidP="009247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Espunte le prove Invalsi,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l’esame di Stato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 xml:space="preserve"> è riportato alla formula tradizionale, consistente nelle tre prove scritte (italiano, matematica e lingue) e nel colloquio. Per le due lingue comunitarie è prevista un’unica prova scritta articolata in una sezione per ciascuna delle lingue studiate (art. 8, c. 3 </w:t>
      </w:r>
      <w:proofErr w:type="spellStart"/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sgg</w:t>
      </w:r>
      <w:proofErr w:type="spellEnd"/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.).</w:t>
      </w:r>
    </w:p>
    <w:p w:rsidR="0092471A" w:rsidRPr="0092471A" w:rsidRDefault="0092471A" w:rsidP="009247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Presidente della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commissione d’esame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 è il dirigente scolastico della scuola stessa (art. 8, c. 2): viene accentuata l’autoreferenzialità della conduzione dell’esame.</w:t>
      </w:r>
    </w:p>
    <w:p w:rsidR="0092471A" w:rsidRPr="0092471A" w:rsidRDefault="0092471A" w:rsidP="009247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Il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voto finale dell’esame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, espresso in decimi, deriva dalla media, arrotondata all’unità superiore per frazioni pari o superiori a 0,5, tra il voto di ammissione e la media dei voti delle prove e del colloquio (oggi il voto finale deriva dalla media tra il voto di ammissione e quello delle singole prove d’esame).</w:t>
      </w:r>
    </w:p>
    <w:p w:rsidR="0092471A" w:rsidRPr="0092471A" w:rsidRDefault="0092471A" w:rsidP="009247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Viene forzosamente enfatizzata la 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collegialità della commissione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 a discapito delle valutazioni tecnico-didattiche dei docenti e delle competenze valutative delle sottocommissioni (alias: i consig</w:t>
      </w:r>
      <w:r w:rsidR="00EE0DD1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li di classe).</w:t>
      </w:r>
    </w:p>
    <w:p w:rsidR="0058671A" w:rsidRPr="00EE0DD1" w:rsidRDefault="0092471A" w:rsidP="00EE0D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</w:pP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L’</w:t>
      </w:r>
      <w:r w:rsidRPr="0092471A">
        <w:rPr>
          <w:rFonts w:ascii="Times New Roman" w:eastAsia="Times New Roman" w:hAnsi="Times New Roman" w:cs="Times New Roman"/>
          <w:b/>
          <w:bCs/>
          <w:color w:val="282828"/>
          <w:sz w:val="27"/>
          <w:szCs w:val="27"/>
          <w:lang w:eastAsia="it-IT"/>
        </w:rPr>
        <w:t>alunno con DSA </w:t>
      </w:r>
      <w:r w:rsidRPr="0092471A">
        <w:rPr>
          <w:rFonts w:ascii="Times New Roman" w:eastAsia="Times New Roman" w:hAnsi="Times New Roman" w:cs="Times New Roman"/>
          <w:color w:val="282828"/>
          <w:sz w:val="27"/>
          <w:szCs w:val="27"/>
          <w:lang w:eastAsia="it-IT"/>
        </w:rPr>
        <w:t>esonerato dallo studio delle lingue straniere viene ammesso all’esame di Stato e consegue il diploma senza menzione della non conoscenza delle lingue (art. 11, commi 13 e 15). La nuova norma scardina un principio fondamentale del diritto scolastico italiano, fondato sul valore legale del titolo di studio (Costituzione, art. 33, c. 5: un titolo di studio certifica il possesso delle competenze previste dal relativo piano di studi). </w:t>
      </w:r>
      <w:bookmarkStart w:id="0" w:name="_GoBack"/>
      <w:bookmarkEnd w:id="0"/>
    </w:p>
    <w:sectPr w:rsidR="0058671A" w:rsidRPr="00EE0D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os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2605"/>
    <w:multiLevelType w:val="multilevel"/>
    <w:tmpl w:val="AA225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A11F9"/>
    <w:multiLevelType w:val="multilevel"/>
    <w:tmpl w:val="8334D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C2520"/>
    <w:multiLevelType w:val="multilevel"/>
    <w:tmpl w:val="07C44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C6"/>
    <w:rsid w:val="0058671A"/>
    <w:rsid w:val="00803C9F"/>
    <w:rsid w:val="0092471A"/>
    <w:rsid w:val="00BE6568"/>
    <w:rsid w:val="00DC20C6"/>
    <w:rsid w:val="00EE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9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Fiorentini</dc:creator>
  <cp:lastModifiedBy>Annamaria Fiorentini</cp:lastModifiedBy>
  <cp:revision>4</cp:revision>
  <dcterms:created xsi:type="dcterms:W3CDTF">2017-09-18T15:02:00Z</dcterms:created>
  <dcterms:modified xsi:type="dcterms:W3CDTF">2017-09-20T09:51:00Z</dcterms:modified>
</cp:coreProperties>
</file>